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F2" w:rsidRDefault="007678F2" w:rsidP="006069E0">
      <w:pPr>
        <w:jc w:val="center"/>
        <w:rPr>
          <w:rFonts w:ascii="Calibri" w:hAnsi="Calibri"/>
          <w:b/>
          <w:snapToGrid w:val="0"/>
          <w:color w:val="000000"/>
        </w:rPr>
      </w:pPr>
      <w:r w:rsidRPr="00777EE5">
        <w:rPr>
          <w:rFonts w:ascii="Calibri" w:hAnsi="Calibri"/>
          <w:b/>
          <w:snapToGrid w:val="0"/>
          <w:color w:val="000000"/>
        </w:rPr>
        <w:t xml:space="preserve">Unit Name:  </w:t>
      </w:r>
      <w:r w:rsidR="00865A4C">
        <w:rPr>
          <w:rFonts w:ascii="Calibri" w:hAnsi="Calibri"/>
          <w:b/>
          <w:snapToGrid w:val="0"/>
          <w:color w:val="000000"/>
          <w:u w:val="single"/>
        </w:rPr>
        <w:t>Student Development</w:t>
      </w:r>
    </w:p>
    <w:p w:rsidR="00EB1DAF" w:rsidRPr="005B5EE7" w:rsidRDefault="00EB1DAF" w:rsidP="007678F2">
      <w:pPr>
        <w:rPr>
          <w:rFonts w:ascii="Calibri" w:hAnsi="Calibri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80"/>
      </w:tblGrid>
      <w:tr w:rsidR="0050580F" w:rsidRPr="00200D22" w:rsidTr="0050580F">
        <w:trPr>
          <w:trHeight w:val="278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80F" w:rsidRPr="00200D22" w:rsidRDefault="0050580F" w:rsidP="005B5EE7">
            <w:pPr>
              <w:rPr>
                <w:rFonts w:ascii="Arial Narrow" w:hAnsi="Arial Narrow"/>
                <w:snapToGrid w:val="0"/>
                <w:color w:val="000000"/>
              </w:rPr>
            </w:pPr>
            <w:r w:rsidRPr="00200D22">
              <w:rPr>
                <w:rFonts w:ascii="Arial Narrow" w:hAnsi="Arial Narrow"/>
                <w:b/>
                <w:snapToGrid w:val="0"/>
                <w:color w:val="000000"/>
              </w:rPr>
              <w:t xml:space="preserve">Unit </w:t>
            </w:r>
            <w:r w:rsidR="006E4C23">
              <w:rPr>
                <w:rFonts w:ascii="Arial Narrow" w:hAnsi="Arial Narrow"/>
                <w:b/>
                <w:snapToGrid w:val="0"/>
                <w:color w:val="000000"/>
              </w:rPr>
              <w:t>Mission</w:t>
            </w:r>
            <w:r w:rsidRPr="00200D22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</w:p>
          <w:p w:rsidR="00865A4C" w:rsidRDefault="00865A4C" w:rsidP="00865A4C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865A4C" w:rsidRDefault="00865A4C" w:rsidP="00865A4C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6579C8">
              <w:rPr>
                <w:rFonts w:ascii="Arial Narrow" w:hAnsi="Arial Narrow"/>
              </w:rPr>
              <w:t>The mission of the Office of Student Development is to assist students in reaching their professional and personal goals through services that encourage diversity, civic involvement and personal responsibility</w:t>
            </w:r>
            <w:r>
              <w:rPr>
                <w:rFonts w:ascii="Arial Narrow" w:hAnsi="Arial Narrow"/>
              </w:rPr>
              <w:t>.</w:t>
            </w:r>
          </w:p>
          <w:p w:rsidR="0050580F" w:rsidRPr="00200D22" w:rsidRDefault="0050580F" w:rsidP="005B5EE7">
            <w:pPr>
              <w:rPr>
                <w:rFonts w:ascii="Arial Narrow" w:hAnsi="Arial Narrow"/>
                <w:b/>
                <w:snapToGrid w:val="0"/>
                <w:color w:val="000000"/>
                <w:u w:val="single"/>
              </w:rPr>
            </w:pPr>
          </w:p>
        </w:tc>
      </w:tr>
      <w:tr w:rsidR="003222D1" w:rsidRPr="005700AD" w:rsidTr="00EC1652">
        <w:trPr>
          <w:trHeight w:val="382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45" w:rsidRDefault="00865A4C" w:rsidP="00712545">
            <w:pPr>
              <w:spacing w:before="240"/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702EBE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Goals 1 </w:t>
            </w:r>
            <w:r w:rsidR="00712545">
              <w:rPr>
                <w:rFonts w:ascii="Arial Narrow" w:hAnsi="Arial Narrow" w:cstheme="majorHAnsi"/>
                <w:b/>
                <w:sz w:val="20"/>
                <w:szCs w:val="20"/>
              </w:rPr>
              <w:t>and 5</w:t>
            </w:r>
            <w:r w:rsidRPr="00702EBE">
              <w:rPr>
                <w:rFonts w:ascii="Arial Narrow" w:hAnsi="Arial Narrow" w:cstheme="majorHAnsi"/>
                <w:b/>
                <w:sz w:val="20"/>
                <w:szCs w:val="20"/>
              </w:rPr>
              <w:t>:  Advance Academic Excellence; Enhanc</w:t>
            </w:r>
            <w:r w:rsidR="00712545">
              <w:rPr>
                <w:rFonts w:ascii="Arial Narrow" w:hAnsi="Arial Narrow" w:cstheme="majorHAnsi"/>
                <w:b/>
                <w:sz w:val="20"/>
                <w:szCs w:val="20"/>
              </w:rPr>
              <w:t>e Institutional Accountability.</w:t>
            </w:r>
          </w:p>
          <w:p w:rsidR="00865A4C" w:rsidRPr="00702EBE" w:rsidRDefault="00712545" w:rsidP="00712545">
            <w:pPr>
              <w:spacing w:before="240"/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>T</w:t>
            </w:r>
            <w:r w:rsidR="00865A4C" w:rsidRPr="00702EBE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his </w:t>
            </w:r>
            <w:r w:rsidR="00865A4C" w:rsidRPr="00702EBE">
              <w:rPr>
                <w:rFonts w:ascii="Arial Narrow" w:hAnsi="Arial Narrow" w:cstheme="majorHAnsi"/>
                <w:b/>
                <w:i/>
                <w:sz w:val="20"/>
                <w:szCs w:val="20"/>
              </w:rPr>
              <w:t>Unit Action Plan</w:t>
            </w:r>
            <w:r w:rsidR="00865A4C" w:rsidRPr="00702EBE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Specifically Supports Commitment(S) two and</w:t>
            </w:r>
            <w:r w:rsidR="00865A4C" w:rsidRPr="00702EBE">
              <w:rPr>
                <w:rFonts w:ascii="Arial Narrow" w:hAnsi="Arial Narrow" w:cstheme="majorHAnsi"/>
                <w:b/>
                <w:strike/>
                <w:sz w:val="20"/>
                <w:szCs w:val="20"/>
              </w:rPr>
              <w:t xml:space="preserve"> </w:t>
            </w:r>
            <w:r w:rsidR="00865A4C" w:rsidRPr="00702EBE">
              <w:rPr>
                <w:rFonts w:ascii="Arial Narrow" w:hAnsi="Arial Narrow" w:cstheme="majorHAnsi"/>
                <w:b/>
                <w:sz w:val="20"/>
                <w:szCs w:val="20"/>
              </w:rPr>
              <w:t>six.</w:t>
            </w:r>
          </w:p>
          <w:p w:rsidR="00DB2174" w:rsidRPr="005700AD" w:rsidRDefault="00DB2174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:rsidR="007E5040" w:rsidRDefault="007E5040"/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1890"/>
        <w:gridCol w:w="1980"/>
        <w:gridCol w:w="1800"/>
        <w:gridCol w:w="5310"/>
        <w:gridCol w:w="990"/>
      </w:tblGrid>
      <w:tr w:rsidR="00844358" w:rsidRPr="005700AD" w:rsidTr="00404C4D">
        <w:trPr>
          <w:trHeight w:val="705"/>
          <w:tblHeader/>
        </w:trPr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8C6BAD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Plan for </w:t>
            </w:r>
            <w:r w:rsidR="0075742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2014-2015</w:t>
            </w:r>
          </w:p>
          <w:p w:rsidR="00844358" w:rsidRPr="005648A6" w:rsidRDefault="00CC454A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This section due by </w:t>
            </w:r>
            <w:r w:rsidR="00492630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June 2</w:t>
            </w:r>
            <w:r w:rsidRPr="001E30E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,</w:t>
            </w:r>
            <w:r w:rsidR="00492630">
              <w:rPr>
                <w:rFonts w:ascii="Arial Narrow" w:hAnsi="Arial Narrow"/>
                <w:b/>
                <w:snapToGrid w:val="0"/>
                <w:color w:val="0070C0"/>
                <w:sz w:val="20"/>
                <w:szCs w:val="20"/>
              </w:rPr>
              <w:t xml:space="preserve"> 2014</w:t>
            </w:r>
            <w:r w:rsidR="00844358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111F8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Report </w:t>
            </w:r>
            <w:r w:rsidR="008C6B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for </w:t>
            </w:r>
            <w:r w:rsidR="0075742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2014-2015</w:t>
            </w:r>
          </w:p>
          <w:p w:rsidR="00844358" w:rsidRDefault="00844358" w:rsidP="0049263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</w:t>
            </w:r>
            <w:r w:rsidR="005F2B8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his section due by </w:t>
            </w:r>
            <w:r w:rsidR="00492630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June 1. </w:t>
            </w:r>
            <w:r w:rsidR="00492630" w:rsidRPr="00492630"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</w:rPr>
              <w:t>2015</w:t>
            </w: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1E30E6" w:rsidRPr="005700AD" w:rsidTr="00404C4D">
        <w:trPr>
          <w:trHeight w:val="705"/>
          <w:tblHeader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Action or Activity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9A5C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Evaluation Measure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9A5C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Performance Standard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Data/Findings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Status*</w:t>
            </w:r>
          </w:p>
        </w:tc>
      </w:tr>
      <w:tr w:rsidR="00855B9C" w:rsidRPr="005700AD" w:rsidTr="00133F73">
        <w:trPr>
          <w:trHeight w:val="153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865A4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5.2 Evaluate continuously university processes, structures, activities, and outcomes; modifying as appropriate.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712545" w:rsidP="008443CF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Create hearing panel to hear conduct appeals, in accordance with the student code update.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865A4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Completion of performance standard by June 1, 2015.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712545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Appeals to the student conduct process will be heard by a hearing panel.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6B2A81" w:rsidP="006B2A81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The entire Student Code of Conduct and related policies have been under review/revision since early 2014. Due to personnel transitions, the new V.P.S.A. inherited the project in September 2014 and the project has continued since. The new Gender-Based Misconduct Policy for Students will include a hearing panel, and the revised Student Code will include a hearing panel structure. New policies will be presented to the OU Board of Regents in June 2014.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6B2A81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 Progress</w:t>
            </w:r>
          </w:p>
        </w:tc>
      </w:tr>
      <w:tr w:rsidR="00855B9C" w:rsidRPr="005700AD" w:rsidTr="00133F73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181036" w:rsidRDefault="00712545" w:rsidP="00133F73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5.2 Evaluate continuously university processes, structures, activities, and outcomes; modifying as appropriate.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712545" w:rsidP="000D00F2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Students will meet </w:t>
            </w:r>
            <w:r w:rsidR="000D00F2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with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only on</w:t>
            </w:r>
            <w:r w:rsidR="000D00F2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administrat</w:t>
            </w:r>
            <w:r w:rsidR="000D00F2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or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to discuss first-time violations of the alcohol policy.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712545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Completion of performance standard by June 1, 2015.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712545" w:rsidP="00AE674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Streamline conduct process for students who </w:t>
            </w:r>
            <w:r w:rsidR="00AE6743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incur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violations.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6B2A81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Personnel transitions that occurred in September 2014 accomplished this goal by default, and moving forward the structure will remain in place where a student will not have two conduct meetings for the same first-time alcohol violation.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6B2A81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Completed</w:t>
            </w:r>
          </w:p>
        </w:tc>
      </w:tr>
      <w:tr w:rsidR="00712545" w:rsidRPr="005700AD" w:rsidTr="00133F73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545" w:rsidRDefault="00712545" w:rsidP="00712545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702EBE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lastRenderedPageBreak/>
              <w:t xml:space="preserve">1.2 Strengthen curricular and co-curricular programs to enrich the overall student learning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experience.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545" w:rsidRDefault="00712545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Create an online student handbook to ensure policies and procedures are easily accessible to students.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545" w:rsidRDefault="00712545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Completion of performance standard by June 1, 2015.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545" w:rsidRDefault="00712545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Increase awareness of university policies and procedures.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12545" w:rsidRDefault="006B2A81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The entire Student Code of Conduct and related policies have been under review/revision since early 2014. Due to personnel transitions, the new V.P.S.A. inherited the project in September 201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4 and the project has continued since. The new handbook will be presented to students online with individual links for each policy document.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New policies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and layout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will be presented to the OU Board of Regents in June 2014.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12545" w:rsidRDefault="006B2A81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 Progress</w:t>
            </w:r>
          </w:p>
        </w:tc>
      </w:tr>
    </w:tbl>
    <w:p w:rsidR="007678F2" w:rsidRDefault="007678F2" w:rsidP="007678F2">
      <w:pPr>
        <w:rPr>
          <w:rFonts w:ascii="Arial Narrow" w:hAnsi="Arial Narrow"/>
          <w:sz w:val="20"/>
          <w:szCs w:val="20"/>
        </w:rPr>
      </w:pPr>
    </w:p>
    <w:p w:rsidR="001E30E6" w:rsidRDefault="001E30E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*Appropriate </w:t>
      </w:r>
      <w:proofErr w:type="gramStart"/>
      <w:r w:rsidRPr="001E30E6">
        <w:rPr>
          <w:rFonts w:ascii="Arial Narrow" w:hAnsi="Arial Narrow"/>
          <w:b/>
          <w:sz w:val="20"/>
          <w:szCs w:val="20"/>
        </w:rPr>
        <w:t xml:space="preserve">Status </w:t>
      </w:r>
      <w:r>
        <w:rPr>
          <w:rFonts w:ascii="Arial Narrow" w:hAnsi="Arial Narrow"/>
          <w:sz w:val="20"/>
          <w:szCs w:val="20"/>
        </w:rPr>
        <w:t xml:space="preserve"> descriptors</w:t>
      </w:r>
      <w:proofErr w:type="gramEnd"/>
      <w:r>
        <w:rPr>
          <w:rFonts w:ascii="Arial Narrow" w:hAnsi="Arial Narrow"/>
          <w:sz w:val="20"/>
          <w:szCs w:val="20"/>
        </w:rPr>
        <w:t xml:space="preserve"> include the following: Completed, Ongoing, In Progress, Rescheduled for next year, Action/Activity withdrawn, or Other. If </w:t>
      </w:r>
      <w:proofErr w:type="gramStart"/>
      <w:r>
        <w:rPr>
          <w:rFonts w:ascii="Arial Narrow" w:hAnsi="Arial Narrow"/>
          <w:sz w:val="20"/>
          <w:szCs w:val="20"/>
        </w:rPr>
        <w:t>Other</w:t>
      </w:r>
      <w:proofErr w:type="gramEnd"/>
      <w:r>
        <w:rPr>
          <w:rFonts w:ascii="Arial Narrow" w:hAnsi="Arial Narrow"/>
          <w:sz w:val="20"/>
          <w:szCs w:val="20"/>
        </w:rPr>
        <w:t xml:space="preserve">, please briefly describe whether the action or activity is completed, will continue, or has been modified for the coming year. </w:t>
      </w:r>
    </w:p>
    <w:p w:rsidR="00844358" w:rsidRPr="001E30E6" w:rsidRDefault="00844358" w:rsidP="001E30E6">
      <w:pPr>
        <w:pStyle w:val="ListParagraph"/>
        <w:numPr>
          <w:ilvl w:val="0"/>
          <w:numId w:val="31"/>
        </w:numPr>
        <w:rPr>
          <w:rFonts w:ascii="Arial Narrow" w:hAnsi="Arial Narrow"/>
          <w:sz w:val="20"/>
          <w:szCs w:val="20"/>
        </w:rPr>
      </w:pPr>
      <w:r w:rsidRPr="001E30E6">
        <w:rPr>
          <w:rFonts w:ascii="Arial Narrow" w:hAnsi="Arial Narrow"/>
          <w:sz w:val="20"/>
          <w:szCs w:val="20"/>
        </w:rPr>
        <w:br w:type="page"/>
      </w:r>
    </w:p>
    <w:p w:rsidR="00844358" w:rsidRP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</w:p>
    <w:p w:rsid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  <w:r w:rsidRPr="00844358">
        <w:rPr>
          <w:rFonts w:ascii="Arial Narrow" w:hAnsi="Arial Narrow"/>
          <w:b/>
          <w:sz w:val="28"/>
          <w:szCs w:val="28"/>
        </w:rPr>
        <w:t xml:space="preserve">Budget Request Supplement for </w:t>
      </w:r>
      <w:r>
        <w:rPr>
          <w:rFonts w:ascii="Arial Narrow" w:hAnsi="Arial Narrow"/>
          <w:b/>
          <w:sz w:val="28"/>
          <w:szCs w:val="28"/>
        </w:rPr>
        <w:t xml:space="preserve">Academic Year </w:t>
      </w:r>
      <w:r w:rsidR="00757426">
        <w:rPr>
          <w:rFonts w:ascii="Arial Narrow" w:hAnsi="Arial Narrow"/>
          <w:b/>
          <w:sz w:val="28"/>
          <w:szCs w:val="28"/>
        </w:rPr>
        <w:t>2014-2015</w:t>
      </w:r>
    </w:p>
    <w:p w:rsidR="00844358" w:rsidRPr="00844358" w:rsidRDefault="00492630" w:rsidP="00844358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Year </w:t>
      </w:r>
      <w:r>
        <w:rPr>
          <w:rFonts w:ascii="Arial Narrow" w:hAnsi="Arial Narrow"/>
          <w:b/>
          <w:sz w:val="20"/>
          <w:szCs w:val="20"/>
        </w:rPr>
        <w:br/>
      </w:r>
      <w:proofErr w:type="spellStart"/>
      <w:r>
        <w:rPr>
          <w:rFonts w:ascii="Arial Narrow" w:hAnsi="Arial Narrow"/>
          <w:b/>
          <w:sz w:val="20"/>
          <w:szCs w:val="20"/>
        </w:rPr>
        <w:t>Year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Five</w:t>
      </w:r>
      <w:r w:rsidR="00844358" w:rsidRPr="00844358">
        <w:rPr>
          <w:rFonts w:ascii="Arial Narrow" w:hAnsi="Arial Narrow"/>
          <w:b/>
          <w:sz w:val="20"/>
          <w:szCs w:val="20"/>
        </w:rPr>
        <w:t xml:space="preserve"> – Strategic Planning Cycle</w:t>
      </w: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7"/>
        <w:gridCol w:w="1667"/>
        <w:gridCol w:w="1906"/>
        <w:gridCol w:w="1984"/>
        <w:gridCol w:w="2143"/>
        <w:gridCol w:w="1747"/>
        <w:gridCol w:w="953"/>
        <w:gridCol w:w="953"/>
      </w:tblGrid>
      <w:tr w:rsidR="001324E3" w:rsidRPr="007160BD" w:rsidTr="001324E3">
        <w:trPr>
          <w:cantSplit/>
          <w:trHeight w:val="750"/>
        </w:trPr>
        <w:tc>
          <w:tcPr>
            <w:tcW w:w="463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E3" w:rsidRPr="007160BD" w:rsidRDefault="00492630" w:rsidP="009F4AF2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This section due by June 2</w:t>
            </w:r>
            <w:r w:rsidR="001324E3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snapToGrid w:val="0"/>
                <w:color w:val="0070C0"/>
                <w:sz w:val="20"/>
                <w:szCs w:val="20"/>
              </w:rPr>
              <w:t>2014</w:t>
            </w:r>
            <w:r w:rsidR="001324E3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.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324E3" w:rsidRDefault="001324E3" w:rsidP="00492630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This section due by </w:t>
            </w:r>
            <w:r w:rsidR="00492630">
              <w:rPr>
                <w:rFonts w:ascii="Arial Narrow" w:hAnsi="Arial Narrow"/>
                <w:b/>
                <w:snapToGrid w:val="0"/>
                <w:sz w:val="20"/>
                <w:szCs w:val="20"/>
              </w:rPr>
              <w:t>June 1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, </w:t>
            </w:r>
            <w:r w:rsidR="00492630"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</w:rPr>
              <w:t>2015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</w:t>
            </w:r>
          </w:p>
        </w:tc>
      </w:tr>
      <w:tr w:rsidR="001324E3" w:rsidRPr="007160BD" w:rsidTr="001324E3">
        <w:trPr>
          <w:cantSplit/>
          <w:trHeight w:val="75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University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Objective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Action for </w:t>
            </w:r>
            <w:r w:rsidR="00757426">
              <w:rPr>
                <w:rFonts w:ascii="Arial Narrow" w:hAnsi="Arial Narrow"/>
                <w:b/>
                <w:snapToGrid w:val="0"/>
                <w:sz w:val="20"/>
                <w:szCs w:val="20"/>
              </w:rPr>
              <w:t>2014-2015</w:t>
            </w:r>
          </w:p>
        </w:tc>
        <w:tc>
          <w:tcPr>
            <w:tcW w:w="29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Requested Resources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Estimated Cost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1324E3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Was the Budget Request Approved?</w:t>
            </w:r>
          </w:p>
        </w:tc>
      </w:tr>
      <w:tr w:rsidR="001324E3" w:rsidRPr="007160BD" w:rsidTr="001324E3">
        <w:trPr>
          <w:cantSplit/>
          <w:trHeight w:val="525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Human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Financial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EA6EEA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(Enter Amount Approved)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Other (e.g., Technology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1324E3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(Enter Amount Approved)</w:t>
            </w:r>
          </w:p>
        </w:tc>
      </w:tr>
      <w:tr w:rsidR="001324E3" w:rsidRPr="005700AD" w:rsidTr="001324E3">
        <w:trPr>
          <w:trHeight w:val="200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Insert rows as needed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1324E3" w:rsidRPr="005700AD" w:rsidTr="001324E3">
        <w:trPr>
          <w:trHeight w:val="200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181036" w:rsidRDefault="001324E3" w:rsidP="00133F73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60808" w:rsidRPr="005700AD" w:rsidRDefault="00660808" w:rsidP="007678F2">
      <w:pPr>
        <w:rPr>
          <w:rFonts w:ascii="Arial Narrow" w:hAnsi="Arial Narrow"/>
          <w:sz w:val="20"/>
          <w:szCs w:val="20"/>
        </w:rPr>
      </w:pPr>
    </w:p>
    <w:sectPr w:rsidR="00660808" w:rsidRPr="005700AD" w:rsidSect="00007610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FA" w:rsidRDefault="00816CFA" w:rsidP="002604F0">
      <w:r>
        <w:separator/>
      </w:r>
    </w:p>
  </w:endnote>
  <w:endnote w:type="continuationSeparator" w:id="0">
    <w:p w:rsidR="00816CFA" w:rsidRDefault="00816CFA" w:rsidP="0026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48204"/>
      <w:docPartObj>
        <w:docPartGallery w:val="Page Numbers (Bottom of Page)"/>
        <w:docPartUnique/>
      </w:docPartObj>
    </w:sdtPr>
    <w:sdtEndPr/>
    <w:sdtContent>
      <w:p w:rsidR="006069E0" w:rsidRDefault="00606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A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9E0" w:rsidRDefault="0060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FA" w:rsidRDefault="00816CFA" w:rsidP="002604F0">
      <w:r>
        <w:separator/>
      </w:r>
    </w:p>
  </w:footnote>
  <w:footnote w:type="continuationSeparator" w:id="0">
    <w:p w:rsidR="00816CFA" w:rsidRDefault="00816CFA" w:rsidP="0026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E0" w:rsidRDefault="006069E0" w:rsidP="002604F0">
    <w:pPr>
      <w:pStyle w:val="Heading1"/>
      <w:rPr>
        <w:rFonts w:ascii="Calibri" w:hAnsi="Calibri"/>
        <w:szCs w:val="24"/>
      </w:rPr>
    </w:pPr>
    <w:r w:rsidRPr="00777EE5">
      <w:rPr>
        <w:rFonts w:ascii="Calibri" w:hAnsi="Calibri"/>
        <w:szCs w:val="24"/>
      </w:rPr>
      <w:t>STRATEGIC PLANNING AND INSTITUTIONAL EFFECTIVENESS</w:t>
    </w:r>
  </w:p>
  <w:p w:rsidR="006069E0" w:rsidRPr="006E103C" w:rsidRDefault="00757426" w:rsidP="002604F0">
    <w:pPr>
      <w:jc w:val="center"/>
      <w:rPr>
        <w:rFonts w:ascii="Calibri" w:eastAsia="Times New Roman" w:hAnsi="Calibri"/>
        <w:b/>
        <w:snapToGrid w:val="0"/>
        <w:color w:val="000000"/>
        <w:u w:val="single"/>
      </w:rPr>
    </w:pPr>
    <w:r>
      <w:rPr>
        <w:rFonts w:ascii="Calibri" w:eastAsia="Times New Roman" w:hAnsi="Calibri"/>
        <w:b/>
        <w:snapToGrid w:val="0"/>
        <w:color w:val="000000"/>
        <w:u w:val="single"/>
      </w:rPr>
      <w:t xml:space="preserve">2014 – 2015 </w:t>
    </w:r>
    <w:r w:rsidR="00E16FBF">
      <w:rPr>
        <w:rFonts w:ascii="Calibri" w:eastAsia="Times New Roman" w:hAnsi="Calibri"/>
        <w:b/>
        <w:snapToGrid w:val="0"/>
        <w:color w:val="000000"/>
        <w:u w:val="single"/>
      </w:rPr>
      <w:t xml:space="preserve">Unit Action Plan – </w:t>
    </w:r>
    <w:r>
      <w:rPr>
        <w:rFonts w:ascii="Calibri" w:eastAsia="Times New Roman" w:hAnsi="Calibri"/>
        <w:b/>
        <w:snapToGrid w:val="0"/>
        <w:color w:val="000000"/>
        <w:u w:val="single"/>
      </w:rPr>
      <w:t>Year Five</w:t>
    </w:r>
  </w:p>
  <w:p w:rsidR="006069E0" w:rsidRDefault="00606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259"/>
    <w:multiLevelType w:val="multilevel"/>
    <w:tmpl w:val="B2F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37E1"/>
    <w:multiLevelType w:val="multilevel"/>
    <w:tmpl w:val="03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3141B"/>
    <w:multiLevelType w:val="hybridMultilevel"/>
    <w:tmpl w:val="EC0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6695"/>
    <w:multiLevelType w:val="multilevel"/>
    <w:tmpl w:val="575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2798F"/>
    <w:multiLevelType w:val="multilevel"/>
    <w:tmpl w:val="4610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6165F"/>
    <w:multiLevelType w:val="multilevel"/>
    <w:tmpl w:val="BF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D24CF"/>
    <w:multiLevelType w:val="hybridMultilevel"/>
    <w:tmpl w:val="7EFC15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E031E7F"/>
    <w:multiLevelType w:val="multilevel"/>
    <w:tmpl w:val="30C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D9D"/>
    <w:multiLevelType w:val="multilevel"/>
    <w:tmpl w:val="7EA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86B80"/>
    <w:multiLevelType w:val="multilevel"/>
    <w:tmpl w:val="D1D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575B3"/>
    <w:multiLevelType w:val="hybridMultilevel"/>
    <w:tmpl w:val="5476C1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B9F397C"/>
    <w:multiLevelType w:val="multilevel"/>
    <w:tmpl w:val="0A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B7EFB"/>
    <w:multiLevelType w:val="multilevel"/>
    <w:tmpl w:val="5DE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929BE"/>
    <w:multiLevelType w:val="multilevel"/>
    <w:tmpl w:val="442225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4F30045"/>
    <w:multiLevelType w:val="multilevel"/>
    <w:tmpl w:val="232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C4B6C"/>
    <w:multiLevelType w:val="multilevel"/>
    <w:tmpl w:val="6F5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B6BA9"/>
    <w:multiLevelType w:val="multilevel"/>
    <w:tmpl w:val="134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25A16"/>
    <w:multiLevelType w:val="multilevel"/>
    <w:tmpl w:val="69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7496B"/>
    <w:multiLevelType w:val="multilevel"/>
    <w:tmpl w:val="A55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5103A"/>
    <w:multiLevelType w:val="multilevel"/>
    <w:tmpl w:val="75B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05CAF"/>
    <w:multiLevelType w:val="multilevel"/>
    <w:tmpl w:val="F93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32701"/>
    <w:multiLevelType w:val="multilevel"/>
    <w:tmpl w:val="1B3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E173F"/>
    <w:multiLevelType w:val="multilevel"/>
    <w:tmpl w:val="EC7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D2734"/>
    <w:multiLevelType w:val="multilevel"/>
    <w:tmpl w:val="52C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8158E"/>
    <w:multiLevelType w:val="multilevel"/>
    <w:tmpl w:val="256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14213"/>
    <w:multiLevelType w:val="multilevel"/>
    <w:tmpl w:val="140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2346F"/>
    <w:multiLevelType w:val="multilevel"/>
    <w:tmpl w:val="782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D2A4E"/>
    <w:multiLevelType w:val="multilevel"/>
    <w:tmpl w:val="407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8314DF"/>
    <w:multiLevelType w:val="multilevel"/>
    <w:tmpl w:val="CEDA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FD43AB"/>
    <w:multiLevelType w:val="multilevel"/>
    <w:tmpl w:val="6B1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9A26E5"/>
    <w:multiLevelType w:val="multilevel"/>
    <w:tmpl w:val="BF3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29"/>
  </w:num>
  <w:num w:numId="4">
    <w:abstractNumId w:val="11"/>
  </w:num>
  <w:num w:numId="5">
    <w:abstractNumId w:val="4"/>
  </w:num>
  <w:num w:numId="6">
    <w:abstractNumId w:val="16"/>
  </w:num>
  <w:num w:numId="7">
    <w:abstractNumId w:val="14"/>
  </w:num>
  <w:num w:numId="8">
    <w:abstractNumId w:val="1"/>
  </w:num>
  <w:num w:numId="9">
    <w:abstractNumId w:val="27"/>
  </w:num>
  <w:num w:numId="10">
    <w:abstractNumId w:val="8"/>
  </w:num>
  <w:num w:numId="11">
    <w:abstractNumId w:val="26"/>
  </w:num>
  <w:num w:numId="12">
    <w:abstractNumId w:val="25"/>
  </w:num>
  <w:num w:numId="13">
    <w:abstractNumId w:val="22"/>
  </w:num>
  <w:num w:numId="14">
    <w:abstractNumId w:val="0"/>
  </w:num>
  <w:num w:numId="15">
    <w:abstractNumId w:val="21"/>
  </w:num>
  <w:num w:numId="16">
    <w:abstractNumId w:val="28"/>
  </w:num>
  <w:num w:numId="17">
    <w:abstractNumId w:val="24"/>
  </w:num>
  <w:num w:numId="18">
    <w:abstractNumId w:val="18"/>
  </w:num>
  <w:num w:numId="19">
    <w:abstractNumId w:val="7"/>
  </w:num>
  <w:num w:numId="20">
    <w:abstractNumId w:val="23"/>
  </w:num>
  <w:num w:numId="21">
    <w:abstractNumId w:val="15"/>
  </w:num>
  <w:num w:numId="22">
    <w:abstractNumId w:val="9"/>
  </w:num>
  <w:num w:numId="23">
    <w:abstractNumId w:val="5"/>
  </w:num>
  <w:num w:numId="24">
    <w:abstractNumId w:val="20"/>
  </w:num>
  <w:num w:numId="25">
    <w:abstractNumId w:val="19"/>
  </w:num>
  <w:num w:numId="26">
    <w:abstractNumId w:val="12"/>
  </w:num>
  <w:num w:numId="27">
    <w:abstractNumId w:val="30"/>
  </w:num>
  <w:num w:numId="28">
    <w:abstractNumId w:val="3"/>
  </w:num>
  <w:num w:numId="29">
    <w:abstractNumId w:val="13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10"/>
    <w:rsid w:val="00007610"/>
    <w:rsid w:val="00010976"/>
    <w:rsid w:val="00046C20"/>
    <w:rsid w:val="0004748D"/>
    <w:rsid w:val="00051D16"/>
    <w:rsid w:val="0006769A"/>
    <w:rsid w:val="00082437"/>
    <w:rsid w:val="000970DB"/>
    <w:rsid w:val="000C55F9"/>
    <w:rsid w:val="000D00F2"/>
    <w:rsid w:val="000D092E"/>
    <w:rsid w:val="000E04BD"/>
    <w:rsid w:val="000F2352"/>
    <w:rsid w:val="000F7E7E"/>
    <w:rsid w:val="00100066"/>
    <w:rsid w:val="00103561"/>
    <w:rsid w:val="00111F86"/>
    <w:rsid w:val="001324E3"/>
    <w:rsid w:val="00133F73"/>
    <w:rsid w:val="00160528"/>
    <w:rsid w:val="0017188E"/>
    <w:rsid w:val="00181036"/>
    <w:rsid w:val="001E30E6"/>
    <w:rsid w:val="001F652E"/>
    <w:rsid w:val="00200D22"/>
    <w:rsid w:val="0020175F"/>
    <w:rsid w:val="00231F62"/>
    <w:rsid w:val="002366FC"/>
    <w:rsid w:val="00244F30"/>
    <w:rsid w:val="00245C1E"/>
    <w:rsid w:val="00254F40"/>
    <w:rsid w:val="002604F0"/>
    <w:rsid w:val="00261C05"/>
    <w:rsid w:val="00263318"/>
    <w:rsid w:val="002775BC"/>
    <w:rsid w:val="002A40C6"/>
    <w:rsid w:val="002B6416"/>
    <w:rsid w:val="002C008E"/>
    <w:rsid w:val="002C4664"/>
    <w:rsid w:val="002E7F84"/>
    <w:rsid w:val="003222D1"/>
    <w:rsid w:val="00337360"/>
    <w:rsid w:val="00343665"/>
    <w:rsid w:val="00346E88"/>
    <w:rsid w:val="0037685A"/>
    <w:rsid w:val="00383C7F"/>
    <w:rsid w:val="003B0671"/>
    <w:rsid w:val="003C36B2"/>
    <w:rsid w:val="003C3AA9"/>
    <w:rsid w:val="003F2C57"/>
    <w:rsid w:val="00404C4D"/>
    <w:rsid w:val="00431186"/>
    <w:rsid w:val="004529B2"/>
    <w:rsid w:val="00467368"/>
    <w:rsid w:val="00492630"/>
    <w:rsid w:val="00492B28"/>
    <w:rsid w:val="004A3005"/>
    <w:rsid w:val="004B178D"/>
    <w:rsid w:val="004C139D"/>
    <w:rsid w:val="004D16A9"/>
    <w:rsid w:val="004E1CD1"/>
    <w:rsid w:val="004E74D7"/>
    <w:rsid w:val="004F4E5F"/>
    <w:rsid w:val="0050580F"/>
    <w:rsid w:val="0051476E"/>
    <w:rsid w:val="00520201"/>
    <w:rsid w:val="00545295"/>
    <w:rsid w:val="005648A6"/>
    <w:rsid w:val="005700AD"/>
    <w:rsid w:val="005812E1"/>
    <w:rsid w:val="005A0D5B"/>
    <w:rsid w:val="005B5EE7"/>
    <w:rsid w:val="005F2B8D"/>
    <w:rsid w:val="006069E0"/>
    <w:rsid w:val="00614193"/>
    <w:rsid w:val="00635AAB"/>
    <w:rsid w:val="006410AD"/>
    <w:rsid w:val="006525FE"/>
    <w:rsid w:val="0065701E"/>
    <w:rsid w:val="00660808"/>
    <w:rsid w:val="006674F3"/>
    <w:rsid w:val="006836B2"/>
    <w:rsid w:val="006B2A81"/>
    <w:rsid w:val="006B6E97"/>
    <w:rsid w:val="006C7E5D"/>
    <w:rsid w:val="006D4DC9"/>
    <w:rsid w:val="006E103C"/>
    <w:rsid w:val="006E439B"/>
    <w:rsid w:val="006E4C23"/>
    <w:rsid w:val="006E5E50"/>
    <w:rsid w:val="006F3F8A"/>
    <w:rsid w:val="00701D52"/>
    <w:rsid w:val="007045D4"/>
    <w:rsid w:val="00712545"/>
    <w:rsid w:val="007160BD"/>
    <w:rsid w:val="00731E48"/>
    <w:rsid w:val="00750C3E"/>
    <w:rsid w:val="00752EDD"/>
    <w:rsid w:val="00757426"/>
    <w:rsid w:val="00762F30"/>
    <w:rsid w:val="007678F2"/>
    <w:rsid w:val="00771B8D"/>
    <w:rsid w:val="0077414E"/>
    <w:rsid w:val="00777EE5"/>
    <w:rsid w:val="0078410C"/>
    <w:rsid w:val="007937D4"/>
    <w:rsid w:val="007E223B"/>
    <w:rsid w:val="007E5040"/>
    <w:rsid w:val="007F1C66"/>
    <w:rsid w:val="00801D0A"/>
    <w:rsid w:val="008112BF"/>
    <w:rsid w:val="00816CFA"/>
    <w:rsid w:val="00844358"/>
    <w:rsid w:val="008443CF"/>
    <w:rsid w:val="0084640A"/>
    <w:rsid w:val="0084707F"/>
    <w:rsid w:val="00855B9C"/>
    <w:rsid w:val="00864A62"/>
    <w:rsid w:val="00865A4C"/>
    <w:rsid w:val="00870ED3"/>
    <w:rsid w:val="008762A2"/>
    <w:rsid w:val="00894BE2"/>
    <w:rsid w:val="008C2D80"/>
    <w:rsid w:val="008C6BAD"/>
    <w:rsid w:val="00902BE7"/>
    <w:rsid w:val="00904E4A"/>
    <w:rsid w:val="009D0537"/>
    <w:rsid w:val="009D7616"/>
    <w:rsid w:val="009F4AF2"/>
    <w:rsid w:val="00A0297B"/>
    <w:rsid w:val="00A24F86"/>
    <w:rsid w:val="00A62AC5"/>
    <w:rsid w:val="00A66307"/>
    <w:rsid w:val="00A86995"/>
    <w:rsid w:val="00AA2AE1"/>
    <w:rsid w:val="00AD18AD"/>
    <w:rsid w:val="00AE6743"/>
    <w:rsid w:val="00B23944"/>
    <w:rsid w:val="00B75094"/>
    <w:rsid w:val="00B9748E"/>
    <w:rsid w:val="00BA15D1"/>
    <w:rsid w:val="00BE64D9"/>
    <w:rsid w:val="00C025C0"/>
    <w:rsid w:val="00C07A56"/>
    <w:rsid w:val="00C137D6"/>
    <w:rsid w:val="00C23D3F"/>
    <w:rsid w:val="00C35E16"/>
    <w:rsid w:val="00C4780E"/>
    <w:rsid w:val="00C84F14"/>
    <w:rsid w:val="00C85728"/>
    <w:rsid w:val="00CB67D5"/>
    <w:rsid w:val="00CC454A"/>
    <w:rsid w:val="00CC4C77"/>
    <w:rsid w:val="00CE1C07"/>
    <w:rsid w:val="00D167CC"/>
    <w:rsid w:val="00D245EB"/>
    <w:rsid w:val="00D34F70"/>
    <w:rsid w:val="00D566D4"/>
    <w:rsid w:val="00DB2174"/>
    <w:rsid w:val="00DC69FD"/>
    <w:rsid w:val="00E00504"/>
    <w:rsid w:val="00E032B1"/>
    <w:rsid w:val="00E10650"/>
    <w:rsid w:val="00E1260B"/>
    <w:rsid w:val="00E16FBF"/>
    <w:rsid w:val="00E25C64"/>
    <w:rsid w:val="00E27724"/>
    <w:rsid w:val="00E47CC9"/>
    <w:rsid w:val="00E52B8A"/>
    <w:rsid w:val="00E82F72"/>
    <w:rsid w:val="00EA565F"/>
    <w:rsid w:val="00EB0C05"/>
    <w:rsid w:val="00EB1DAF"/>
    <w:rsid w:val="00EC1652"/>
    <w:rsid w:val="00ED78CD"/>
    <w:rsid w:val="00EF57B5"/>
    <w:rsid w:val="00F05005"/>
    <w:rsid w:val="00F1196F"/>
    <w:rsid w:val="00F25824"/>
    <w:rsid w:val="00F26C28"/>
    <w:rsid w:val="00F437F9"/>
    <w:rsid w:val="00F77090"/>
    <w:rsid w:val="00F91C48"/>
    <w:rsid w:val="00FD503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0004">
              <w:marLeft w:val="300"/>
              <w:marRight w:val="51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584">
                  <w:marLeft w:val="-390"/>
                  <w:marRight w:val="-39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9EFF3"/>
                    <w:right w:val="none" w:sz="0" w:space="0" w:color="auto"/>
                  </w:divBdr>
                  <w:divsChild>
                    <w:div w:id="161297774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E2F5-DC3F-4030-9E8B-969C633A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Strategic Planning</dc:subject>
  <dc:creator>Linda D. Andrews</dc:creator>
  <cp:lastModifiedBy>Brent Marsh</cp:lastModifiedBy>
  <cp:revision>6</cp:revision>
  <cp:lastPrinted>2011-01-05T15:23:00Z</cp:lastPrinted>
  <dcterms:created xsi:type="dcterms:W3CDTF">2014-05-21T20:36:00Z</dcterms:created>
  <dcterms:modified xsi:type="dcterms:W3CDTF">2015-05-01T15:42:00Z</dcterms:modified>
  <cp:category>Unit Plan</cp:category>
</cp:coreProperties>
</file>