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</w:t>
      </w:r>
      <w:r w:rsidR="008C5BF5">
        <w:rPr>
          <w:rFonts w:ascii="Calibri" w:hAnsi="Calibri"/>
          <w:b/>
          <w:snapToGrid w:val="0"/>
          <w:color w:val="000000"/>
          <w:u w:val="single"/>
        </w:rPr>
        <w:t>Department of Biology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8C5BF5" w:rsidRDefault="008C5BF5" w:rsidP="008C5BF5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8C5BF5" w:rsidRPr="00200D22" w:rsidRDefault="008C5BF5" w:rsidP="008C5BF5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 mission of the Department of Biology at Rogers State University is to support students in their pursuit of knowledge in biology and life science.</w:t>
            </w: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5BF5" w:rsidRDefault="008C5BF5" w:rsidP="008C5BF5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>1: Advance Academic Excellence</w:t>
            </w:r>
          </w:p>
          <w:p w:rsidR="008C5BF5" w:rsidRDefault="008C5BF5" w:rsidP="008C5BF5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This </w:t>
            </w:r>
            <w:r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Specifically Supports Commitment(S) 1.1, 1.2, 1.4.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C5BF5" w:rsidRPr="005700AD" w:rsidTr="00791C65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  Provide creative and innovative learning environments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1.1.1. Upgrade labs, software, and equipment </w:t>
            </w: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1.1.1. Lab modifications to enhance student learning/faculty performance</w:t>
            </w: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9360C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1.1.1.  </w:t>
            </w:r>
            <w:r w:rsidRPr="009360CD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Computer software and course content reviewed/upgraded on yearly basis; 1 minor physical improvement to a lab space per semester; 1 major improvement to a lab space every 2 years</w:t>
            </w:r>
          </w:p>
          <w:p w:rsidR="008C5BF5" w:rsidRPr="009360C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BC76C4" w:rsidP="00BC76C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1.1.1 Software was updated as updates were made available.  Computers were maintained in good operating condition.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791C65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</w:t>
            </w:r>
            <w:r w:rsidR="00BC76C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ngoing</w:t>
            </w:r>
          </w:p>
        </w:tc>
      </w:tr>
      <w:tr w:rsidR="008C5BF5" w:rsidRPr="005700AD" w:rsidTr="00791C65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BF5" w:rsidRPr="00181036" w:rsidRDefault="008C5BF5" w:rsidP="002C1804">
            <w:pPr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1.1.2. Pursue dialog with interested units to plan future events; Sponsor speakers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1.1.2. Number of outside speakers presented each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1.1.2. Two invited  speaker events sponsored per year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BC76C4" w:rsidP="0005339D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1.1.2.  Dr. Jae Ho Kim invited</w:t>
            </w:r>
            <w:r w:rsidR="0005339D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Dan McNeil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to discuss the new PA program being developed in Oklahoma City, OK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BC76C4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8C5BF5" w:rsidRPr="005700AD" w:rsidTr="00791C65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BF5" w:rsidRPr="00557CAB" w:rsidRDefault="008C5BF5" w:rsidP="002C180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57CAB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1.2  Strengthen curricular and co-curricular programs to enrich the overall student learning experience</w:t>
            </w:r>
          </w:p>
          <w:p w:rsidR="008C5BF5" w:rsidRPr="00557CAB" w:rsidRDefault="008C5BF5" w:rsidP="002C180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Involvement  in Grants such as TABERC, NSF Grants or Collaborations, such as EREN, etc.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Number of collaborations with other institutions and/or agencies (Students/Faculty)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Four faculty and/or Student collaborations per year</w:t>
            </w:r>
          </w:p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1C65" w:rsidRDefault="00791C65" w:rsidP="0026065B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RSU has maintained its </w:t>
            </w:r>
            <w:r w:rsidR="00BC76C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TABERC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association.  One student was selected as a research intern.  Additionally, Dr. Jin Seo received an IMBRE grant.  Collaborations with the EREN network continue.</w:t>
            </w:r>
          </w:p>
          <w:p w:rsidR="0026065B" w:rsidRDefault="0026065B" w:rsidP="0032764E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New equipment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is in the process of being purchased.  This includes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12 microscopes, real-time PCR,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and a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ref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rigerated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centrifuge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 Four new special topics classes were taught: Entomology, Gulfshore ecology, S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tem cell and development,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olecular virology.</w:t>
            </w:r>
            <w:r w:rsidR="0032764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Collaberations with GRDA and the ODWC in opportunities for Environmental Conservation students.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791C65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8C5BF5" w:rsidRPr="005700AD" w:rsidTr="00791C65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8C5BF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57CAB">
              <w:rPr>
                <w:rFonts w:ascii="Arial Narrow" w:eastAsia="Times New Roman" w:hAnsi="Arial Narrow" w:cs="Arial"/>
                <w:sz w:val="20"/>
                <w:szCs w:val="20"/>
              </w:rPr>
              <w:t>1.4.  Provide effective faculty and staff development in support of intellectual, professional and personal development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1.4. Promote and support faculty participation in travel, scholarly activity through grant support, and enhancing research space.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1.4 Contribute funding for faculty travel to professional meetings and facilitate funding of Organized Faculty Research Grants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57CAB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1.4 Provide assistance to fund seven opportunities for faculty to travel to state, regional, or national professional meetings, and facilitate successful funding of three Organized Faculty Research proposals.  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BC76C4" w:rsidP="003374E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Dr. Seo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attended a meeting on D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rosophila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research,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Dr.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K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atz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attending the national American Society of Microbiology (in May) and a second meeting to present a collaborative effort with the English department.  Dr. Bowen will attend a meeting for Health Professions advisors (in May), Mr. and Mrs. Glass attended a joint </w:t>
            </w:r>
            <w:r w:rsidR="003374E8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annual </w:t>
            </w:r>
            <w:r w:rsidR="00791C65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meeting of the Oklahoma Ornithological Society and the Arkansas society</w:t>
            </w:r>
            <w:r w:rsidR="003374E8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.  Drs Bowen and Martin attended the Oklahoma Academy of Science Spring meeting.</w:t>
            </w:r>
            <w:r w:rsidR="0032764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 Dr. Jin Seo successfully applied for an Organized Faculty Re</w:t>
            </w:r>
            <w:bookmarkStart w:id="0" w:name="_GoBack"/>
            <w:bookmarkEnd w:id="0"/>
            <w:r w:rsidR="0032764E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search Grant.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791C65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8C5BF5" w:rsidRPr="005700AD" w:rsidTr="003374E8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2F541F">
              <w:rPr>
                <w:rFonts w:ascii="Arial Narrow" w:eastAsia="Times New Roman" w:hAnsi="Arial Narrow" w:cs="Arial"/>
                <w:sz w:val="20"/>
                <w:szCs w:val="20"/>
              </w:rPr>
              <w:t>2.3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2F541F">
              <w:rPr>
                <w:rFonts w:ascii="Arial Narrow" w:eastAsia="Times New Roman" w:hAnsi="Arial Narrow" w:cs="Arial"/>
                <w:sz w:val="20"/>
                <w:szCs w:val="20"/>
              </w:rPr>
              <w:t xml:space="preserve">  Involve all constituencies of the university in student recruitment and retention efforts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2.3.1. Number of participations in recruitment events </w:t>
            </w:r>
          </w:p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8C5BF5" w:rsidRPr="001C092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2.3.1. Three Recruitment events per year</w:t>
            </w:r>
          </w:p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2.3.1. Participation in recruitment events</w:t>
            </w:r>
          </w:p>
          <w:p w:rsidR="008C5BF5" w:rsidRPr="009360C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3374E8" w:rsidP="003374E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Faculty participated in e</w:t>
            </w:r>
            <w:r w:rsidR="00BC76C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arly enrollment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events during the spring semester.  Additionally, </w:t>
            </w:r>
            <w:r w:rsidR="00BC76C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special enrollment days 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were scheduled </w:t>
            </w:r>
            <w:r w:rsidR="00BC76C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throughout the spring/summer semesters.</w:t>
            </w: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These included advisement by faculty and advisors as well as tours by student volunteers.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791C65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  <w:tr w:rsidR="008C5BF5" w:rsidRPr="005700AD" w:rsidTr="003374E8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BB4AE7">
              <w:rPr>
                <w:rFonts w:ascii="Arial Narrow" w:eastAsia="Times New Roman" w:hAnsi="Arial Narrow" w:cs="Arial"/>
                <w:sz w:val="20"/>
                <w:szCs w:val="20"/>
              </w:rPr>
              <w:t>5.5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</w:t>
            </w:r>
            <w:r w:rsidRPr="00BB4AE7">
              <w:rPr>
                <w:rFonts w:ascii="Arial Narrow" w:eastAsia="Times New Roman" w:hAnsi="Arial Narrow" w:cs="Arial"/>
                <w:sz w:val="20"/>
                <w:szCs w:val="20"/>
              </w:rPr>
              <w:t xml:space="preserve">  Develop, implement and advance a comprehensive campus safety plan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5.5.1. Schedule and conduct quarterly Safety training sessions</w:t>
            </w: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5.5.1. Number of Safety training sessions</w:t>
            </w:r>
            <w:r w:rsidRPr="005700AD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BF5" w:rsidRPr="009360C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5.5.1. Quarterly safety training sessions attended by 85% of departmental faculty and staff </w:t>
            </w:r>
          </w:p>
          <w:p w:rsidR="008C5BF5" w:rsidRPr="005700AD" w:rsidRDefault="008C5BF5" w:rsidP="002C1804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3374E8" w:rsidP="003374E8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 safety committee was formed and tasked with evaluating needed safety procedures and training..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C5BF5" w:rsidRDefault="00791C65" w:rsidP="00791C65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Ongoing</w:t>
            </w: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*Appropriate </w:t>
      </w:r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 include the following: Completed, Ongoing, In Progress, Rescheduled for next year, Action/Activity withdrawn, or Other. If Other, please briefly describe whether the action or activity is completed, will continue, or has been modified for the coming year. </w:t>
      </w:r>
    </w:p>
    <w:p w:rsidR="00950766" w:rsidRDefault="00950766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5"/>
        <w:gridCol w:w="1635"/>
        <w:gridCol w:w="1873"/>
        <w:gridCol w:w="1951"/>
        <w:gridCol w:w="2110"/>
        <w:gridCol w:w="1716"/>
        <w:gridCol w:w="1100"/>
        <w:gridCol w:w="927"/>
      </w:tblGrid>
      <w:tr w:rsidR="00950766" w:rsidRPr="007160BD" w:rsidTr="005263A7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June 01,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950766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May 1, </w:t>
            </w:r>
            <w:r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950766" w:rsidRPr="007160BD" w:rsidTr="005263A7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Action for 2013-2014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950766" w:rsidRPr="007160BD" w:rsidTr="005263A7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0766" w:rsidRPr="007160BD" w:rsidRDefault="00950766" w:rsidP="005263A7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587414" w:rsidRPr="005700AD" w:rsidTr="00587414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14" w:rsidRPr="00557CAB" w:rsidRDefault="00587414" w:rsidP="0058741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57CAB">
              <w:rPr>
                <w:rFonts w:ascii="Arial Narrow" w:eastAsia="Times New Roman" w:hAnsi="Arial Narrow" w:cs="Arial"/>
                <w:sz w:val="20"/>
                <w:szCs w:val="20"/>
              </w:rPr>
              <w:t>1.2  Strengthen curricular and co-curricular programs to enrich the overall student learning experience</w:t>
            </w:r>
          </w:p>
          <w:p w:rsidR="00587414" w:rsidRPr="00557CAB" w:rsidRDefault="00587414" w:rsidP="0058741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414" w:rsidRPr="00557CAB" w:rsidRDefault="00587414" w:rsidP="009272A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Involvement  in Grants such as TABERC, NSF Grants or Collaborations, such as EREN, etc.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414" w:rsidRPr="00557CAB" w:rsidRDefault="00587414" w:rsidP="009272A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Number of collaborations with other institutions and/or agencies (Students/Faculty)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7414" w:rsidRPr="00557CAB" w:rsidRDefault="00587414" w:rsidP="009272A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557CAB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1.2.1. Four faculty and/or Student collaborations per year</w:t>
            </w:r>
          </w:p>
          <w:p w:rsidR="00587414" w:rsidRPr="00557CAB" w:rsidRDefault="00587414" w:rsidP="009272A2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414" w:rsidRPr="005700AD" w:rsidRDefault="00587414" w:rsidP="005263A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414" w:rsidRPr="005700AD" w:rsidRDefault="00587414" w:rsidP="005263A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7414" w:rsidRPr="005700AD" w:rsidRDefault="00587414" w:rsidP="005263A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Approximately $50,000.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7414" w:rsidRPr="005700AD" w:rsidRDefault="00587414" w:rsidP="005263A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587414" w:rsidRPr="005700AD" w:rsidTr="005263A7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181036" w:rsidRDefault="00587414" w:rsidP="005263A7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87414" w:rsidRPr="005700AD" w:rsidRDefault="00587414" w:rsidP="005263A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50766" w:rsidRDefault="00950766">
      <w:pPr>
        <w:rPr>
          <w:rFonts w:ascii="Arial Narrow" w:hAnsi="Arial Narrow"/>
          <w:sz w:val="20"/>
          <w:szCs w:val="20"/>
        </w:rPr>
      </w:pPr>
    </w:p>
    <w:p w:rsidR="00660808" w:rsidRPr="00665DB9" w:rsidRDefault="00660808" w:rsidP="00665DB9">
      <w:pPr>
        <w:pStyle w:val="ListParagraph"/>
        <w:ind w:left="3600"/>
        <w:rPr>
          <w:rFonts w:ascii="Arial Narrow" w:hAnsi="Arial Narrow"/>
          <w:b/>
          <w:sz w:val="20"/>
          <w:szCs w:val="20"/>
        </w:rPr>
      </w:pPr>
    </w:p>
    <w:sectPr w:rsidR="00660808" w:rsidRPr="00665DB9" w:rsidSect="0000761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A0" w:rsidRDefault="00FF15A0" w:rsidP="002604F0">
      <w:r>
        <w:separator/>
      </w:r>
    </w:p>
  </w:endnote>
  <w:endnote w:type="continuationSeparator" w:id="0">
    <w:p w:rsidR="00FF15A0" w:rsidRDefault="00FF15A0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A0" w:rsidRDefault="00FF15A0" w:rsidP="002604F0">
      <w:r>
        <w:separator/>
      </w:r>
    </w:p>
  </w:footnote>
  <w:footnote w:type="continuationSeparator" w:id="0">
    <w:p w:rsidR="00FF15A0" w:rsidRDefault="00FF15A0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0"/>
    <w:rsid w:val="00007610"/>
    <w:rsid w:val="00010976"/>
    <w:rsid w:val="00046C20"/>
    <w:rsid w:val="0004748D"/>
    <w:rsid w:val="000516FD"/>
    <w:rsid w:val="00051D16"/>
    <w:rsid w:val="0005339D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065B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2764E"/>
    <w:rsid w:val="00337360"/>
    <w:rsid w:val="003374E8"/>
    <w:rsid w:val="00343665"/>
    <w:rsid w:val="00346E88"/>
    <w:rsid w:val="0037685A"/>
    <w:rsid w:val="00383C7F"/>
    <w:rsid w:val="003B0671"/>
    <w:rsid w:val="003B0CDA"/>
    <w:rsid w:val="003C36B2"/>
    <w:rsid w:val="003C3AA9"/>
    <w:rsid w:val="003F1B51"/>
    <w:rsid w:val="003F2C57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412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87414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0D70"/>
    <w:rsid w:val="00665DB9"/>
    <w:rsid w:val="006674F3"/>
    <w:rsid w:val="006836B2"/>
    <w:rsid w:val="006B4A04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130E"/>
    <w:rsid w:val="00791C65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5BF5"/>
    <w:rsid w:val="008C6BAD"/>
    <w:rsid w:val="00902BE7"/>
    <w:rsid w:val="00904E4A"/>
    <w:rsid w:val="00950766"/>
    <w:rsid w:val="00964D90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B15FEC"/>
    <w:rsid w:val="00B23944"/>
    <w:rsid w:val="00B75094"/>
    <w:rsid w:val="00B9748E"/>
    <w:rsid w:val="00BA15D1"/>
    <w:rsid w:val="00BC76C4"/>
    <w:rsid w:val="00BE64D9"/>
    <w:rsid w:val="00C025C0"/>
    <w:rsid w:val="00C07A56"/>
    <w:rsid w:val="00C137D6"/>
    <w:rsid w:val="00C23D3F"/>
    <w:rsid w:val="00C35E16"/>
    <w:rsid w:val="00C4780E"/>
    <w:rsid w:val="00C66644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4CA6"/>
    <w:rsid w:val="00F25824"/>
    <w:rsid w:val="00F26C28"/>
    <w:rsid w:val="00F437F9"/>
    <w:rsid w:val="00F67FBE"/>
    <w:rsid w:val="00F77090"/>
    <w:rsid w:val="00F91C48"/>
    <w:rsid w:val="00FD503C"/>
    <w:rsid w:val="00FE349B"/>
    <w:rsid w:val="00F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E30FB-87F7-4503-B4A7-2056D79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2A85-4893-4D84-8658-B83A1696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Keith Martin</cp:lastModifiedBy>
  <cp:revision>2</cp:revision>
  <cp:lastPrinted>2011-01-05T15:23:00Z</cp:lastPrinted>
  <dcterms:created xsi:type="dcterms:W3CDTF">2015-05-15T13:55:00Z</dcterms:created>
  <dcterms:modified xsi:type="dcterms:W3CDTF">2015-05-15T13:55:00Z</dcterms:modified>
  <cp:category>Unit Plan</cp:category>
</cp:coreProperties>
</file>